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5CF" w:rsidRDefault="003F05CF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CONSIDERAZIONI PRELIMINARI</w:t>
      </w:r>
    </w:p>
    <w:p w:rsidR="003F05CF" w:rsidRDefault="003F05CF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Prima di parlarvi del modo in cui l’esame sarà fatto a giugno e luglio, ricordo a tutti gli studenti che:</w:t>
      </w:r>
    </w:p>
    <w:p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1111A8" w:rsidRDefault="001111A8" w:rsidP="001111A8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Per dare il mio modulo bisogna 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aver già sostenuto e superato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C564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l’esame del prof.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Davide Poggi</w:t>
      </w:r>
    </w:p>
    <w:p w:rsidR="001111A8" w:rsidRDefault="001111A8" w:rsidP="001111A8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Il programma d’esame 18-19 è valido solo per quelli che hanno frequentato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corso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Per tutti gli altri – non-frequentanti, frequentanti di corsi più vecchi, ecc. – è necessario scrivere una mail per concordare un programma differente.</w:t>
      </w:r>
    </w:p>
    <w:p w:rsidR="001111A8" w:rsidRDefault="001111A8" w:rsidP="001111A8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Gli appelli estivi sono gli ultimi in cui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programma d’esame 18-19 rimane valido. Da settembre non lo è più.</w:t>
      </w:r>
    </w:p>
    <w:p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Veniamo adesso al modo in cui verrà sostenuto l’esame nei due appelli estivi (su settembre non si sa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ancora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nulla, rimando quindi gli studenti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agli avvisi che pubblicherò in futuro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).</w:t>
      </w:r>
    </w:p>
    <w:p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SOSTENERE L’ESAME NEI DUE APPELLI ESTIVI</w:t>
      </w:r>
    </w:p>
    <w:p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La prova in aula viene sostituita dalla scrittura di una relazione da fare a casa e da inviar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mi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mail (tommaso.tuppini@univr.it) 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entro il giorno dell'appello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La scrittura e l'invio della relazione sono azioni sufficienti per sosten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ere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la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 d'esame. </w:t>
      </w: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VERR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A’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VALUTATA LA RELAZIONE SCRITTA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(sono indicazioni un po’ lunghe e me ne scuso, ma è necessario per evitar equivoci)</w:t>
      </w: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9563C6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Siccome la relazione sarà l'unico elemento di valutazione, anche i criteri della valutazione cambiano leggermente rispetto alla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tradizionale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 in aula. 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Lo studente dovrà fare molta attenzione al modo in cui si esprime, alla</w:t>
      </w:r>
      <w:r w:rsidR="0056159D"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sintassi e alla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precisione del lessico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Di solito sono elementi che non hanno un'importanza decisiva nella valutazione (sui quali, anzi, ho sempre sorvolato) ma in questa circostanza acquistano un peso decisivo e non è necessariamente una cosa disdicevole, perché la forma del pensiero è sempre sostanza: chi scrive e parla male, pensa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(e vive)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male; chi scrive e parla bene, pensa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(e vive)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bene.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Cercate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di evitare il più possibile banalità, truismi, frasi fatte, gergo giornalistico 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in generale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le zavorre linguistiche che il più delle volte rendono indigeribile il modo in cui ci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esprimiamo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Ogni sforzo in tal senso verrà particolarmente apprezzato. Vale anche il contrario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una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relazione scritta in modo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sciatt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 e disattento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verrà apprezzata. Questo - ovviamente! - non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è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l'unico criterio del giudizio e del voto, ma sarà comunque un elemento importante. 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8272CE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Qual</w:t>
      </w:r>
      <w:r w:rsidR="008272CE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 sono gli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8272CE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altri criteri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userò per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dare un voto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le vostre prove? 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1)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Originalità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dell’argomentazione.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 n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on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significa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qualcosa di bizzarro, ma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l’argomentazione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il modo in cui ragionate –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è scontata come potrebbe essere quella</w:t>
      </w:r>
      <w:r w:rsidR="001111A8"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 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 un calcolatore elettronico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che invece di mettere in fila gli argomenti così come li trovate nei libri studiati, sapete scomporre e ricomporre la struttura dei libri, riuscite cioè a produrre collegamenti non troppo scontati tra le diverse parti dei libri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 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F05CF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2)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Rigore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dell’argomentazione,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significa che non saltate di palo in frasca ma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segue è motivato da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precede.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3) Adeguatezza della relazione all’argomento proposto. Questo è importante perché spesso lo studente rischia di dimenticarsene. Mi spiego. Si possono scrivere cose giustissime e interessanti che però non hanno molto a che fare con la proposta di argomento (vedi sotto). Bisogna 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rispondere all’argomento proposto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, non spiegare la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rava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la fava su Freud o su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aggirando la questione che vi propongo. La relazione è molto breve, sono poche pagine, quindi bisogna arrivare subito “a bomba” e scrivere 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dell’argomento richiesto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Ovviamente – c’è bisogno di dirlo? – ci saranno dei concetti “generali” dell’autore ai quali voi dovete fare riferimento, ma non bisogna perdersi in chiacchiere. Lo spazio è poco. Usatelo per rispondere agli argomenti proposti.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13046D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4)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uella che siamo abituati a chiamare la “capacità di rielaborazione”. E’ chiaro che avendo i testi sott’occhio, tutti sono capaci di scimmiottarne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 riprodurne paro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paro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lessico. Quello che vi chiedo è di rimanere aderenti alla </w:t>
      </w:r>
      <w:proofErr w:type="spellStart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concettualità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 testo ma di mostrare che l’avete compresa e digerita. E’ impossibile dirvi “come fare” 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lastRenderedPageBreak/>
        <w:t xml:space="preserve">questa cosa che vi ho appena detto. Ognuno la sa/può fare a suo modo. Ma vi assicuro che il lettore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capisce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subito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se il testo è stato studiato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digerito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oppure se è stato distrattamente sfogliato e riprodotto in modo pappagallesco. Credetemi: si capisce dopo la lettura di due righe. Tenetelo presente.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</w:p>
    <w:p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1111A8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Inoltre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usate parole di cui non conoscete il significato (tipo “trascendentale” oppure “ontologico”)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usate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mai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segni grafici (tipo </w:t>
      </w:r>
      <w:r w:rsidR="0056159D" w:rsidRP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sym w:font="Wingdings" w:char="F0E0"/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) o elenchi puntati (1, 2, 3…), schemi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ni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ecc. Servitevi soltanto di parole. Parole e basta.</w:t>
      </w:r>
    </w:p>
    <w:p w:rsidR="0013046D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BE43F1" w:rsidRDefault="00BE43F1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Tutte le relazioni verranno vagliate preliminarmente con un software antiplagio.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Anche una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sola frase plagiata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farà annullare la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Se invece non c’è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plagio ma la relazione è scritta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con un lessico e un periodare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che non corrispond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ono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assolutamente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alla capacità “media” di espressione di uno studente,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quest’ultimo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verrà contattato via Zoom per fare un colloquio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con me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420D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così che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420D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io possa capire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qual è il suo modo abituale di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esprimersi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Di fronte a una manifesta incongruenza tra quanto letto e quanto ascoltato, la prova verrà annullata.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Lo stesso vale per le relazioni che si serviranno di quegli osceni riassuntini che si trovano su siti tipo Docsity.com o simili</w:t>
      </w:r>
      <w:r w:rsidR="00BA0C45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Riconoscerò immediatamente l’ispirazione da questi siti-fogna e la prova verrà annullata.</w:t>
      </w:r>
    </w:p>
    <w:p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SI SCRIVE LA RELAZIONE</w:t>
      </w:r>
    </w:p>
    <w:p w:rsidR="0013046D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Gli studenti devono scrivere una relazione 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di almeno</w:t>
      </w: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1</w:t>
      </w:r>
      <w:r w:rsidR="00CE0146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2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.000 caratteri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,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spazi inclusi.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Relazioni con meno di 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1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2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.000 caratteri e più di 1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6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.000 verranno annullate.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Vi do un consiglio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scrivere la relazione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cominciate avendo in testa di dover rispettare il limite quantitativo dei caratteri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è castrante.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All’inizio n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on pensateci,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13046D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concentratevi sulle cos</w:t>
      </w:r>
      <w:r w:rsid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</w:t>
      </w:r>
      <w:r w:rsidR="0013046D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da scrivere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scrivete liberamente quanto vi pare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In un secondo momento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tornerete indietro per aumentare/diminuire quel che avete scritto.</w:t>
      </w:r>
    </w:p>
    <w:p w:rsidR="00384F52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Nella relazione non fate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riferimento a testi diversi da quelli in programma d’esame, nessun riferimento ad altre letture. </w:t>
      </w:r>
      <w:r w:rsidR="0013046D" w:rsidRPr="00A043E9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 neppure citazioni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letterali</w:t>
      </w:r>
      <w:r w:rsidR="0013046D" w:rsidRPr="00A043E9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dai testi d’esame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mettete mai passi di Freud tra virgolette. Saprò riconoscere la parte di testo alla quale state facendo riferimento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questo è sufficiente.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Quindi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ripeto – mai scrivere FREUD A P. XX DICE CHE: «……». E’ ovvio che il lessico che utilizzate sarà in buona parte quello di Freud, ma – ripeto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la terza volta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niente citazioni.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Per evitare il riflesso automatico di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citare Freud alla lettera, fingete di star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facendo un esame orale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(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non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una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relazione)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dove è impossibile citare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in modo esatto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 il linguaggio del libro 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viene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filtrato 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attraverso l’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imprecisione creatrice della memoria.</w:t>
      </w:r>
    </w:p>
    <w:p w:rsidR="0013046D" w:rsidRDefault="00F26D14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Chi porta il programma con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-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Ronchi, rilegga quel che ho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appena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critto e al posto di “Freud” metta “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-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Ronchi”.</w:t>
      </w:r>
    </w:p>
    <w:p w:rsidR="00F26D14" w:rsidRDefault="00F26D14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ARGOMENTO DELLA RELAZIONE PER CHI PORTA IL PROGRAMMA DELL’A.A. 2018-19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 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(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LA RELAZIONE VA SCRITTA COME UNA LUNGA E ARGOMENTATA RISPOSTA A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QUEL CHE DICO QUI SOTTO.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LA RELAZIONE NON VA SCOMPOSTA IN TANTE PARTI QUANTE SONO LE 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SOLLECITAZIONI DELLE MIE PAROLE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MA DEV’ESSERE UN DISCORSO “UNICO” E OMOGENEO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)</w:t>
      </w:r>
    </w:p>
    <w:p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In che misura sogno e perversione sono, l’uno e l’altra secondo un modo specifico, forme della comunicazione? Sono senz’altro forme paradossali della comunicazione,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 di solito per noi “comunicare” vuol dire aprire la bocca e farne uscire delle parole 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ma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né il sogno né la perversione sono fatt</w:t>
      </w:r>
      <w:r w:rsidR="00374B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soltanto di parole. Le parole ci sono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sia nel sogno che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(forse)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nella perversione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ma non sono la cosa più importante. </w:t>
      </w:r>
      <w:r w:rsidR="00384F52"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Chi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comunica con </w:t>
      </w:r>
      <w:r w:rsidR="00384F52"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chi</w:t>
      </w:r>
      <w:r w:rsid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,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nel sogno e nella perversione?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</w:t>
      </w:r>
      <w:r w:rsidR="003A0A44" w:rsidRPr="003A0A4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che cosa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comunicano un sogno e un atto sessualmente perverso?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Sogno e perversione sono, inoltre, </w:t>
      </w:r>
      <w:r w:rsidR="00384F52"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forme diverse di comunicazione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 l’una – il sogno – 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assomiglia a una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specie di monologo solitario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fatto per immagini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mentre di solito la perversione ha bisogno di qualcun altro (è un po’ difficile essere “perversi” da soli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ma forse neppure questo è impossibile…)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 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osa tiene insieme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cosa divide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l’un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l’altra, 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forma di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“comunica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zione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”?</w:t>
      </w:r>
    </w:p>
    <w:p w:rsidR="00384F52" w:rsidRDefault="00384F52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84F52" w:rsidRDefault="00384F52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NB: Nei testi di Freud </w:t>
      </w:r>
      <w:r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non c’è</w:t>
      </w:r>
      <w:r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una risposta “esatta” a questa domanda-considerazione. 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Dovrete tenere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 mente i testi di Freud ma 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siete costretti 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cercare da soli la risposta. 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Dovete aver studiato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 libri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ma anche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ragionare con la vostra testa e a giungere in chiaro con voi stessi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circa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3A0A4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quel che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intendete quando parlate di “comunicazione”.</w:t>
      </w:r>
    </w:p>
    <w:p w:rsidR="003A0A44" w:rsidRDefault="003A0A44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ARGOMENTO DELLA RELAZIONE PER CHI PORTA IL PROGRAMMA DA NON-FREQUENTANTI.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(LA RELAZIONE VA SCRITTA COME UNA LUNGA E ARGOMENTATA RISPOSTA A QUEL CHE DICO QUI SOTTO. LA RELAZIONE NON VA 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lastRenderedPageBreak/>
        <w:t>SCOMPOSTA IN TANTE PARTI QUANTE SONO LE SOLLECITAZIONI DELLE MIE PAROLE, MA DEV’ESSERE UN DISCORSO “UNICO” E OMOGENEO)</w:t>
      </w:r>
    </w:p>
    <w:p w:rsidR="00F26D14" w:rsidRDefault="00F26D1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F26D14" w:rsidRDefault="00F26D1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Dalla lettura di entrambi i libri,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Ronchi, si ricava l’impressione che quando comunichiamo quel che è importante non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è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tanto il “contenuto”, il significato di quel che diciamo-sentiamo-vediamo, ma la “forma”, cioè i modi e lo strumento, la struttura del nostro comunicare. Quest’affermazione va contro 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 che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pensiamo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tutti i giorni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perché, se siamo onesti, riconosciamo subito di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essere 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quasi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mai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concentrati sul “medium” della comunicazione ma sempre sul “messaggio”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su quello che stiamo dicendo-sentendo-vedendo.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Quindi: fatemi vedere concretamente con </w:t>
      </w:r>
      <w:r w:rsidR="00783EF8" w:rsidRP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un esempio preso dall</w:t>
      </w:r>
      <w:r w:rsid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a vostra vita di</w:t>
      </w:r>
      <w:r w:rsidR="00783EF8" w:rsidRP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 w:rsid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studenti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il modo in cui potete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verifica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questa tesi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“il medium è il messaggio”.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Dunque, allargando la questione: q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ual è secondo voi il riflesso che può avere sulla nostra vita</w:t>
      </w:r>
      <w:r w:rsidR="00AC725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quotidiana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pensiero di due come </w:t>
      </w:r>
      <w:proofErr w:type="spellStart"/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Ronchi? Che ce ne importa di sapere che “il medium è il messaggio”? Chi tiene presente una cosa del genere comunica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in modo differente da chi non ha nessuna</w:t>
      </w:r>
      <w:r w:rsidR="00AC725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idea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“il medium è il messaggio”?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Comunica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meglio? Comunica peggio?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 invece quello che ha da dire lo dice esattamente allo stesso modo di uno che non ne sa nulla?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Che poi è un altro modo per chiedere: ma a cosa serve studiare questi due libri? E’ utile per noi? E’ inutile? E in entrambi i casi: perché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lo è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?</w:t>
      </w:r>
    </w:p>
    <w:p w:rsidR="00E9455F" w:rsidRDefault="00E9455F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E9455F" w:rsidRDefault="00E9455F" w:rsidP="00E9455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NB: Nei testi di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 </w:t>
      </w:r>
      <w:r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non c’è</w:t>
      </w:r>
      <w:r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una risposta “esatta” a questa domanda-considerazione. Dovrete tenere a mente i testi di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 ma siete costretti a cercare da soli la risposta. Dovete aver studiato i libri ma anche ragionare con la vostra testa e a giungere in chiaro con voi stessi circa quel che intendete quando parlate di “comunicazione”.</w:t>
      </w:r>
    </w:p>
    <w:p w:rsidR="00CE0146" w:rsidRDefault="00CE0146" w:rsidP="00E9455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E9455F" w:rsidRDefault="00E9455F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A0A44" w:rsidRPr="00384F52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384F52" w:rsidRDefault="00384F52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:rsidR="0056159D" w:rsidRPr="001111A8" w:rsidRDefault="0056159D" w:rsidP="001111A8">
      <w:pPr>
        <w:rPr>
          <w:rFonts w:ascii="Times New Roman" w:eastAsia="Times New Roman" w:hAnsi="Times New Roman" w:cs="Times New Roman"/>
          <w:lang w:eastAsia="it-IT"/>
        </w:rPr>
      </w:pPr>
    </w:p>
    <w:p w:rsidR="000310A4" w:rsidRDefault="00734EDC"/>
    <w:sectPr w:rsidR="000310A4" w:rsidSect="001B2A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B08"/>
    <w:multiLevelType w:val="hybridMultilevel"/>
    <w:tmpl w:val="7374A752"/>
    <w:lvl w:ilvl="0" w:tplc="1E7CDE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8"/>
    <w:rsid w:val="001111A8"/>
    <w:rsid w:val="0013046D"/>
    <w:rsid w:val="001B2A0B"/>
    <w:rsid w:val="002E3C53"/>
    <w:rsid w:val="00374B50"/>
    <w:rsid w:val="00384F52"/>
    <w:rsid w:val="003A0A44"/>
    <w:rsid w:val="003F05CF"/>
    <w:rsid w:val="005420D7"/>
    <w:rsid w:val="0056159D"/>
    <w:rsid w:val="005C5648"/>
    <w:rsid w:val="005F0241"/>
    <w:rsid w:val="005F597F"/>
    <w:rsid w:val="00734EDC"/>
    <w:rsid w:val="00783EF8"/>
    <w:rsid w:val="008272CE"/>
    <w:rsid w:val="00883A09"/>
    <w:rsid w:val="009428FB"/>
    <w:rsid w:val="009563C6"/>
    <w:rsid w:val="00A043E9"/>
    <w:rsid w:val="00A11808"/>
    <w:rsid w:val="00AC7251"/>
    <w:rsid w:val="00BA0C45"/>
    <w:rsid w:val="00BE43F1"/>
    <w:rsid w:val="00CE0146"/>
    <w:rsid w:val="00D303BA"/>
    <w:rsid w:val="00D605BD"/>
    <w:rsid w:val="00DE0B12"/>
    <w:rsid w:val="00DE468F"/>
    <w:rsid w:val="00E65850"/>
    <w:rsid w:val="00E9455F"/>
    <w:rsid w:val="00F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011C6"/>
  <w15:chartTrackingRefBased/>
  <w15:docId w15:val="{EB701579-A51D-D34D-9899-FC5054B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1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5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5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1567</Words>
  <Characters>8750</Characters>
  <Application>Microsoft Office Word</Application>
  <DocSecurity>0</DocSecurity>
  <Lines>150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8</cp:revision>
  <dcterms:created xsi:type="dcterms:W3CDTF">2020-05-25T10:16:00Z</dcterms:created>
  <dcterms:modified xsi:type="dcterms:W3CDTF">2020-05-25T14:26:00Z</dcterms:modified>
</cp:coreProperties>
</file>